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黑体"/>
          <w:b/>
          <w:bCs w:val="0"/>
          <w:kern w:val="0"/>
          <w:sz w:val="28"/>
          <w:szCs w:val="28"/>
        </w:rPr>
      </w:pPr>
      <w:bookmarkStart w:id="0" w:name="_GoBack"/>
      <w:bookmarkEnd w:id="0"/>
      <w:r>
        <w:rPr>
          <w:rStyle w:val="9"/>
          <w:rFonts w:hint="eastAsia" w:ascii="黑体" w:hAnsi="黑体" w:eastAsia="黑体" w:cs="黑体"/>
          <w:b/>
          <w:bCs w:val="0"/>
          <w:kern w:val="0"/>
          <w:sz w:val="28"/>
          <w:szCs w:val="28"/>
        </w:rPr>
        <w:t>新疆银行“金胡杨·</w:t>
      </w:r>
      <w:r>
        <w:rPr>
          <w:rStyle w:val="9"/>
          <w:rFonts w:hint="eastAsia" w:ascii="黑体" w:hAnsi="黑体" w:eastAsia="黑体" w:cs="黑体"/>
          <w:b/>
          <w:bCs w:val="0"/>
          <w:kern w:val="0"/>
          <w:sz w:val="28"/>
          <w:szCs w:val="28"/>
          <w:lang w:eastAsia="zh-CN"/>
        </w:rPr>
        <w:t>定开新</w:t>
      </w:r>
      <w:r>
        <w:rPr>
          <w:rStyle w:val="9"/>
          <w:rFonts w:hint="eastAsia" w:ascii="黑体" w:hAnsi="黑体" w:eastAsia="黑体" w:cs="黑体"/>
          <w:b/>
          <w:bCs w:val="0"/>
          <w:kern w:val="0"/>
          <w:sz w:val="28"/>
          <w:szCs w:val="28"/>
        </w:rPr>
        <w:t>”</w:t>
      </w:r>
      <w:r>
        <w:rPr>
          <w:rStyle w:val="9"/>
          <w:rFonts w:hint="eastAsia" w:ascii="黑体" w:hAnsi="黑体" w:eastAsia="黑体" w:cs="黑体"/>
          <w:b/>
          <w:bCs w:val="0"/>
          <w:kern w:val="0"/>
          <w:sz w:val="28"/>
          <w:szCs w:val="28"/>
          <w:lang w:val="en-US" w:eastAsia="zh-CN"/>
        </w:rPr>
        <w:t>(180)天周期</w:t>
      </w:r>
      <w:r>
        <w:rPr>
          <w:rStyle w:val="9"/>
          <w:rFonts w:hint="eastAsia" w:ascii="黑体" w:hAnsi="黑体" w:eastAsia="黑体" w:cs="黑体"/>
          <w:b/>
          <w:bCs w:val="0"/>
          <w:kern w:val="0"/>
          <w:sz w:val="28"/>
          <w:szCs w:val="28"/>
        </w:rPr>
        <w:t>开放</w:t>
      </w:r>
      <w:r>
        <w:rPr>
          <w:rStyle w:val="9"/>
          <w:rFonts w:hint="eastAsia" w:ascii="黑体" w:hAnsi="黑体" w:eastAsia="黑体" w:cs="黑体"/>
          <w:b/>
          <w:bCs w:val="0"/>
          <w:kern w:val="0"/>
          <w:sz w:val="28"/>
          <w:szCs w:val="28"/>
          <w:lang w:eastAsia="zh-CN"/>
        </w:rPr>
        <w:t>式</w:t>
      </w:r>
      <w:r>
        <w:rPr>
          <w:rStyle w:val="9"/>
          <w:rFonts w:hint="eastAsia" w:ascii="黑体" w:hAnsi="黑体" w:eastAsia="黑体" w:cs="黑体"/>
          <w:b/>
          <w:bCs w:val="0"/>
          <w:kern w:val="0"/>
          <w:sz w:val="28"/>
          <w:szCs w:val="28"/>
        </w:rPr>
        <w:t>净值型人民币理财产品协议书</w:t>
      </w:r>
    </w:p>
    <w:p>
      <w:pPr>
        <w:widowControl/>
        <w:spacing w:line="400" w:lineRule="exact"/>
        <w:jc w:val="center"/>
        <w:rPr>
          <w:rStyle w:val="9"/>
          <w:rFonts w:hint="eastAsia" w:ascii="黑体" w:hAnsi="黑体" w:eastAsia="黑体" w:cs="黑体"/>
          <w:b/>
          <w:bCs w:val="0"/>
          <w:kern w:val="0"/>
          <w:sz w:val="28"/>
          <w:szCs w:val="28"/>
        </w:rPr>
      </w:pPr>
      <w:r>
        <w:rPr>
          <w:rStyle w:val="9"/>
          <w:rFonts w:hint="eastAsia" w:ascii="黑体" w:hAnsi="黑体" w:eastAsia="黑体" w:cs="黑体"/>
          <w:b/>
          <w:bCs w:val="0"/>
          <w:kern w:val="0"/>
          <w:sz w:val="28"/>
          <w:szCs w:val="28"/>
        </w:rPr>
        <w:t>理财产品过往业绩不代表其未来表现，不等于理财产品实际收益</w:t>
      </w:r>
    </w:p>
    <w:p>
      <w:pPr>
        <w:widowControl/>
        <w:spacing w:line="400" w:lineRule="exact"/>
        <w:jc w:val="center"/>
        <w:rPr>
          <w:rStyle w:val="9"/>
          <w:rFonts w:hint="eastAsia" w:ascii="黑体" w:hAnsi="黑体" w:eastAsia="黑体" w:cs="黑体"/>
          <w:b/>
          <w:bCs w:val="0"/>
          <w:kern w:val="0"/>
          <w:sz w:val="28"/>
          <w:szCs w:val="28"/>
        </w:rPr>
      </w:pPr>
      <w:r>
        <w:rPr>
          <w:rStyle w:val="9"/>
          <w:rFonts w:hint="eastAsia" w:ascii="黑体" w:hAnsi="黑体" w:eastAsia="黑体" w:cs="黑体"/>
          <w:b/>
          <w:bCs w:val="0"/>
          <w:kern w:val="0"/>
          <w:sz w:val="28"/>
          <w:szCs w:val="28"/>
        </w:rPr>
        <w:t>理财非存款、产品有风险、投资须谨慎</w:t>
      </w:r>
    </w:p>
    <w:p>
      <w:pPr>
        <w:widowControl/>
        <w:adjustRightInd w:val="0"/>
        <w:snapToGrid w:val="0"/>
        <w:spacing w:beforeLines="50" w:line="360" w:lineRule="auto"/>
        <w:ind w:firstLine="570"/>
        <w:jc w:val="left"/>
        <w:rPr>
          <w:rStyle w:val="9"/>
          <w:rFonts w:hint="eastAsia" w:cs="宋体" w:asciiTheme="minorEastAsia" w:hAnsiTheme="minorEastAsia" w:eastAsiaTheme="minorEastAsia"/>
          <w:b w:val="0"/>
          <w:kern w:val="0"/>
          <w:szCs w:val="21"/>
        </w:rPr>
      </w:pP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□认购      □申购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hint="eastAsia" w:ascii="黑体" w:hAnsi="黑体" w:eastAsia="黑体" w:cs="黑体"/>
                <w:b/>
                <w:bCs/>
                <w:kern w:val="0"/>
                <w:szCs w:val="21"/>
              </w:rPr>
            </w:pPr>
            <w:r>
              <w:rPr>
                <w:rFonts w:hint="eastAsia" w:ascii="黑体" w:hAnsi="黑体" w:eastAsia="黑体" w:cs="黑体"/>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hint="eastAsia" w:ascii="黑体" w:hAnsi="黑体" w:eastAsia="黑体" w:cs="黑体"/>
                <w:b/>
                <w:bCs/>
                <w:kern w:val="0"/>
                <w:szCs w:val="21"/>
              </w:rPr>
            </w:pPr>
            <w:r>
              <w:rPr>
                <w:rFonts w:hint="eastAsia" w:ascii="黑体" w:hAnsi="黑体" w:eastAsia="黑体" w:cs="黑体"/>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hint="eastAsia"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hint="eastAsia" w:cs="宋体" w:asciiTheme="minorEastAsia" w:hAnsiTheme="minorEastAsia" w:eastAsiaTheme="minorEastAsia"/>
                <w:bCs/>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eastAsia" w:ascii="黑体" w:hAnsi="黑体" w:eastAsia="黑体" w:cs="黑体"/>
                <w:b/>
                <w:bCs/>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p>
            <w:pPr>
              <w:widowControl/>
              <w:tabs>
                <w:tab w:val="left" w:pos="8070"/>
                <w:tab w:val="right" w:pos="8306"/>
              </w:tabs>
              <w:adjustRightInd w:val="0"/>
              <w:snapToGrid w:val="0"/>
              <w:spacing w:line="360" w:lineRule="auto"/>
              <w:ind w:firstLine="405"/>
              <w:jc w:val="left"/>
              <w:rPr>
                <w:rFonts w:hint="eastAsia" w:ascii="黑体" w:hAnsi="黑体" w:eastAsia="黑体" w:cs="黑体"/>
                <w:b/>
                <w:bCs/>
                <w:kern w:val="0"/>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p>
            <w:pPr>
              <w:widowControl/>
              <w:adjustRightInd w:val="0"/>
              <w:snapToGrid w:val="0"/>
              <w:spacing w:line="360" w:lineRule="auto"/>
              <w:ind w:firstLine="420" w:firstLineChars="200"/>
              <w:jc w:val="left"/>
              <w:rPr>
                <w:rFonts w:hint="eastAsia"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val="0"/>
                <w:kern w:val="0"/>
                <w:szCs w:val="21"/>
              </w:rPr>
            </w:pPr>
            <w:r>
              <w:rPr>
                <w:rStyle w:val="9"/>
                <w:rFonts w:hint="eastAsia" w:cs="宋体" w:asciiTheme="minorEastAsia" w:hAnsiTheme="minorEastAsia" w:eastAsiaTheme="minorEastAsia"/>
                <w:b/>
                <w:bCs w:val="0"/>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b w:val="0"/>
                <w:bCs/>
                <w:szCs w:val="21"/>
              </w:rPr>
            </w:pPr>
            <w:r>
              <w:rPr>
                <w:rFonts w:hint="eastAsia" w:asciiTheme="minorEastAsia" w:hAnsiTheme="minorEastAsia" w:eastAsiaTheme="minorEastAsia"/>
                <w:b w:val="0"/>
                <w:bCs/>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b w:val="0"/>
                <w:bCs/>
                <w:szCs w:val="21"/>
              </w:rPr>
            </w:pPr>
            <w:r>
              <w:rPr>
                <w:rFonts w:hint="eastAsia" w:asciiTheme="minorEastAsia" w:hAnsiTheme="minorEastAsia" w:eastAsiaTheme="minorEastAsia"/>
                <w:b w:val="0"/>
                <w:bCs/>
                <w:szCs w:val="21"/>
              </w:rPr>
              <w:t>2.</w:t>
            </w:r>
            <w:r>
              <w:rPr>
                <w:rStyle w:val="9"/>
                <w:rFonts w:hint="eastAsia" w:cs="宋体" w:asciiTheme="minorEastAsia" w:hAnsiTheme="minorEastAsia" w:eastAsiaTheme="minorEastAsia"/>
                <w:b w:val="0"/>
                <w:bCs/>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b w:val="0"/>
                <w:bCs/>
                <w:szCs w:val="21"/>
              </w:rPr>
            </w:pPr>
            <w:r>
              <w:rPr>
                <w:rFonts w:hint="eastAsia" w:asciiTheme="minorEastAsia" w:hAnsiTheme="minorEastAsia" w:eastAsiaTheme="minorEastAsia"/>
                <w:b w:val="0"/>
                <w:bCs/>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hint="eastAsia" w:asciiTheme="minorEastAsia" w:hAnsiTheme="minorEastAsia" w:eastAsiaTheme="minorEastAsia"/>
                <w:b w:val="0"/>
                <w:bCs/>
                <w:szCs w:val="21"/>
              </w:rPr>
            </w:pPr>
            <w:r>
              <w:rPr>
                <w:rFonts w:hint="eastAsia" w:asciiTheme="minorEastAsia" w:hAnsiTheme="minorEastAsia" w:eastAsiaTheme="minorEastAsia"/>
                <w:b w:val="0"/>
                <w:bCs/>
                <w:szCs w:val="21"/>
              </w:rPr>
              <w:t>4.本协议一式两份，具有同等法律效力，甲乙双方各执一份。</w:t>
            </w:r>
          </w:p>
          <w:p>
            <w:pPr>
              <w:widowControl/>
              <w:tabs>
                <w:tab w:val="left" w:pos="0"/>
              </w:tabs>
              <w:adjustRightInd w:val="0"/>
              <w:snapToGrid w:val="0"/>
              <w:spacing w:line="360" w:lineRule="auto"/>
              <w:ind w:firstLine="420" w:firstLineChars="200"/>
              <w:jc w:val="left"/>
              <w:rPr>
                <w:rFonts w:hint="eastAsia" w:asciiTheme="minorEastAsia" w:hAnsiTheme="minorEastAsia" w:eastAsiaTheme="minorEastAsia"/>
                <w:b w:val="0"/>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ind w:firstLine="4216" w:firstLineChars="2000"/>
              <w:jc w:val="both"/>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2"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tc>
      </w:tr>
    </w:tbl>
    <w:p>
      <w:pPr>
        <w:spacing w:line="360" w:lineRule="auto"/>
        <w:rPr>
          <w:rFonts w:cs="宋体" w:asciiTheme="minorEastAsia" w:hAnsiTheme="minorEastAsia" w:eastAsiaTheme="minorEastAsia"/>
          <w:bCs/>
          <w:kern w:val="0"/>
          <w:szCs w:val="21"/>
        </w:rPr>
      </w:pPr>
    </w:p>
    <w:sectPr>
      <w:headerReference r:id="rId3" w:type="default"/>
      <w:footerReference r:id="rId4" w:type="default"/>
      <w:pgSz w:w="11906" w:h="16838"/>
      <w:pgMar w:top="1894" w:right="1080" w:bottom="1440"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46986"/>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B57A4"/>
    <w:rsid w:val="002B78D0"/>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17CE1"/>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50E3B"/>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2F35"/>
    <w:rsid w:val="00BD6333"/>
    <w:rsid w:val="00BE621A"/>
    <w:rsid w:val="00BF1AB3"/>
    <w:rsid w:val="00C4477C"/>
    <w:rsid w:val="00C44CBB"/>
    <w:rsid w:val="00C53E91"/>
    <w:rsid w:val="00C76F9A"/>
    <w:rsid w:val="00C90ACB"/>
    <w:rsid w:val="00C91EFD"/>
    <w:rsid w:val="00CA70FD"/>
    <w:rsid w:val="00CB0920"/>
    <w:rsid w:val="00CB12E9"/>
    <w:rsid w:val="00CC5394"/>
    <w:rsid w:val="00CD427F"/>
    <w:rsid w:val="00CD52B9"/>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82528"/>
    <w:rsid w:val="00F96A97"/>
    <w:rsid w:val="00FA6167"/>
    <w:rsid w:val="00FB38CD"/>
    <w:rsid w:val="00FC7471"/>
    <w:rsid w:val="00FD18D6"/>
    <w:rsid w:val="00FE6804"/>
    <w:rsid w:val="00FE74FB"/>
    <w:rsid w:val="00FF7571"/>
    <w:rsid w:val="02ED329B"/>
    <w:rsid w:val="065760B4"/>
    <w:rsid w:val="11A4770B"/>
    <w:rsid w:val="1B336F49"/>
    <w:rsid w:val="1D2D53F5"/>
    <w:rsid w:val="207F7B06"/>
    <w:rsid w:val="24A776A1"/>
    <w:rsid w:val="289C7B1E"/>
    <w:rsid w:val="2B884D7A"/>
    <w:rsid w:val="2C523431"/>
    <w:rsid w:val="30A90FF0"/>
    <w:rsid w:val="32350551"/>
    <w:rsid w:val="342774C7"/>
    <w:rsid w:val="38E70BCC"/>
    <w:rsid w:val="39E82A82"/>
    <w:rsid w:val="3AD22C22"/>
    <w:rsid w:val="3CDF2599"/>
    <w:rsid w:val="43C43A5D"/>
    <w:rsid w:val="44451DD3"/>
    <w:rsid w:val="49166DE6"/>
    <w:rsid w:val="53EC0506"/>
    <w:rsid w:val="54955051"/>
    <w:rsid w:val="57605062"/>
    <w:rsid w:val="5C52057E"/>
    <w:rsid w:val="5DA051FC"/>
    <w:rsid w:val="638B23A0"/>
    <w:rsid w:val="6C494FFC"/>
    <w:rsid w:val="6FA678A5"/>
    <w:rsid w:val="7B7D0F42"/>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F0712E-786A-4A30-B808-BF335DC0C37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644</Words>
  <Characters>3675</Characters>
  <Lines>30</Lines>
  <Paragraphs>8</Paragraphs>
  <TotalTime>2</TotalTime>
  <ScaleCrop>false</ScaleCrop>
  <LinksUpToDate>false</LinksUpToDate>
  <CharactersWithSpaces>4311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2020-12-30T05:35:39Z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